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sz w:val="20"/>
          <w:szCs w:val="20"/>
        </w:rPr>
      </w:pPr>
      <w:r>
        <w:rPr>
          <w:rFonts w:cs="Arial" w:ascii="Verdana" w:hAnsi="Verdana"/>
          <w:b/>
          <w:bCs/>
          <w:smallCaps/>
          <w:color w:val="000000"/>
          <w:sz w:val="20"/>
          <w:szCs w:val="20"/>
        </w:rPr>
        <w:t xml:space="preserve">EDITAL </w:t>
      </w:r>
    </w:p>
    <w:p>
      <w:pPr>
        <w:pStyle w:val="Normal"/>
        <w:jc w:val="center"/>
        <w:rPr>
          <w:rFonts w:ascii="Verdana" w:hAnsi="Verdana"/>
          <w:sz w:val="20"/>
          <w:szCs w:val="20"/>
        </w:rPr>
      </w:pPr>
      <w:r>
        <w:rPr>
          <w:rFonts w:ascii="Verdana" w:hAnsi="Verdana"/>
          <w:sz w:val="20"/>
          <w:szCs w:val="20"/>
        </w:rPr>
      </w:r>
    </w:p>
    <w:p>
      <w:pPr>
        <w:pStyle w:val="Normal"/>
        <w:jc w:val="center"/>
        <w:rPr>
          <w:rFonts w:ascii="Verdana" w:hAnsi="Verdana"/>
          <w:sz w:val="20"/>
          <w:szCs w:val="20"/>
        </w:rPr>
      </w:pPr>
      <w:r>
        <w:rPr>
          <w:rFonts w:cs="Arial" w:ascii="Verdana" w:hAnsi="Verdana"/>
          <w:b/>
          <w:bCs/>
          <w:smallCaps/>
          <w:color w:val="000000"/>
          <w:sz w:val="20"/>
          <w:szCs w:val="20"/>
        </w:rPr>
        <w:t>PREGÃO ELETRÔNICO Nº 012/2026 – EXCLUSIVO ME/EPP</w:t>
      </w:r>
    </w:p>
    <w:p>
      <w:pPr>
        <w:pStyle w:val="Normal"/>
        <w:jc w:val="center"/>
        <w:rPr>
          <w:rFonts w:ascii="Verdana" w:hAnsi="Verdana"/>
          <w:sz w:val="20"/>
          <w:szCs w:val="20"/>
        </w:rPr>
      </w:pPr>
      <w:r>
        <w:rPr>
          <w:rFonts w:cs="Arial" w:ascii="Verdana" w:hAnsi="Verdana"/>
          <w:b/>
          <w:bCs/>
          <w:smallCaps/>
          <w:color w:val="000000"/>
          <w:sz w:val="20"/>
          <w:szCs w:val="20"/>
        </w:rPr>
        <w:t>ID CIDADES: 2026.065E0500002.01.0006</w:t>
      </w:r>
    </w:p>
    <w:p>
      <w:pPr>
        <w:pStyle w:val="Normal"/>
        <w:jc w:val="center"/>
        <w:rPr/>
      </w:pPr>
      <w:r>
        <w:rPr>
          <w:rFonts w:cs="Arial" w:ascii="Verdana" w:hAnsi="Verdana"/>
          <w:b/>
          <w:bCs/>
          <w:smallCaps/>
          <w:color w:val="000000"/>
          <w:sz w:val="20"/>
          <w:szCs w:val="20"/>
        </w:rPr>
        <w:t>(Processo Administrativo n°</w:t>
      </w:r>
      <w:r>
        <w:rPr>
          <w:rFonts w:cs="Arial" w:ascii="Verdana" w:hAnsi="Verdana"/>
          <w:bCs/>
          <w:smallCaps/>
          <w:color w:val="000000"/>
          <w:sz w:val="20"/>
          <w:szCs w:val="20"/>
        </w:rPr>
        <w:t xml:space="preserve"> </w:t>
      </w:r>
      <w:r>
        <w:rPr>
          <w:rFonts w:cs="Arial" w:ascii="Verdana" w:hAnsi="Verdana"/>
          <w:b/>
          <w:bCs/>
          <w:smallCaps/>
          <w:color w:val="000000"/>
          <w:sz w:val="20"/>
          <w:szCs w:val="20"/>
        </w:rPr>
        <w:t>1673/2025 de 06/03/2026</w:t>
      </w:r>
      <w:r>
        <w:rPr>
          <w:rFonts w:cs="Arial" w:ascii="Verdana" w:hAnsi="Verdana"/>
          <w:bCs/>
          <w:smallCaps/>
          <w:color w:val="000000"/>
          <w:sz w:val="20"/>
          <w:szCs w:val="20"/>
        </w:rPr>
        <w:t>)</w:t>
      </w:r>
    </w:p>
    <w:p>
      <w:pPr>
        <w:pStyle w:val="Normal"/>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before="0" w:after="0"/>
        <w:jc w:val="both"/>
        <w:rPr/>
      </w:pPr>
      <w:r>
        <w:rPr/>
      </w:r>
    </w:p>
    <w:p>
      <w:pPr>
        <w:pStyle w:val="Normal"/>
        <w:spacing w:before="0" w:after="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22</w:t>
      </w:r>
      <w:r>
        <w:rPr>
          <w:rFonts w:cs="Arial" w:ascii="Verdana" w:hAnsi="Verdana"/>
          <w:b/>
          <w:bCs/>
          <w:color w:val="000000"/>
          <w:sz w:val="20"/>
          <w:szCs w:val="20"/>
        </w:rPr>
        <w:t>/05/2026.</w:t>
      </w:r>
    </w:p>
    <w:p>
      <w:pPr>
        <w:pStyle w:val="Normal"/>
        <w:spacing w:before="0" w:after="0"/>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before="0" w:after="0"/>
        <w:rPr/>
      </w:pPr>
      <w:r>
        <w:rPr>
          <w:rFonts w:cs="Arial" w:ascii="Verdana" w:hAnsi="Verdana"/>
          <w:b/>
          <w:bCs/>
          <w:color w:val="000000"/>
          <w:sz w:val="20"/>
          <w:szCs w:val="20"/>
        </w:rPr>
        <w:t>Local:</w:t>
      </w:r>
      <w:r>
        <w:rPr>
          <w:rFonts w:cs="Arial" w:ascii="Verdana" w:hAnsi="Verdana"/>
          <w:color w:val="000000"/>
          <w:sz w:val="20"/>
          <w:szCs w:val="20"/>
        </w:rPr>
        <w:t xml:space="preserve"> </w:t>
      </w:r>
      <w:hyperlink r:id="rId2">
        <w:r>
          <w:rPr>
            <w:rStyle w:val="Hyperlink"/>
            <w:rFonts w:cs="Arial" w:ascii="Verdana" w:hAnsi="Verdana"/>
            <w:b/>
            <w:bCs/>
            <w:color w:val="000000"/>
            <w:sz w:val="20"/>
            <w:szCs w:val="20"/>
          </w:rPr>
          <w:t xml:space="preserve">Portal de Compras Públicas – </w:t>
        </w:r>
      </w:hyperlink>
      <w:hyperlink r:id="rId3">
        <w:bookmarkStart w:id="0" w:name="_Hlk123138684"/>
        <w:r>
          <w:rPr>
            <w:rStyle w:val="Hyperlink"/>
            <w:rFonts w:cs="Arial" w:ascii="Verdana" w:hAnsi="Verdana"/>
            <w:b/>
            <w:bCs/>
            <w:sz w:val="20"/>
            <w:szCs w:val="20"/>
          </w:rPr>
          <w:t>www.portaldecompraspublicas.com.br</w:t>
        </w:r>
      </w:hyperlink>
      <w:bookmarkEnd w:id="0"/>
    </w:p>
    <w:p>
      <w:pPr>
        <w:pStyle w:val="Normal"/>
        <w:spacing w:before="0"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ListParagraph"/>
        <w:spacing w:before="57" w:after="57"/>
        <w:ind w:left="0"/>
        <w:contextualSpacing w:val="false"/>
        <w:jc w:val="both"/>
        <w:rPr/>
      </w:pPr>
      <w:r>
        <w:rPr>
          <w:rFonts w:cs="Arial" w:ascii="Verdana" w:hAnsi="Verdana"/>
          <w:color w:val="000000"/>
          <w:sz w:val="20"/>
          <w:szCs w:val="20"/>
        </w:rPr>
        <w:t xml:space="preserve">1.1 O objeto da presente licitação é a </w:t>
      </w:r>
      <w:r>
        <w:rPr>
          <w:rFonts w:cs="Arial" w:ascii="Verdana" w:hAnsi="Verdana"/>
          <w:b w:val="false"/>
          <w:bCs w:val="false"/>
          <w:iCs/>
          <w:color w:val="000000"/>
          <w:sz w:val="20"/>
          <w:szCs w:val="20"/>
        </w:rPr>
        <w:t>Aquisição de</w:t>
      </w:r>
      <w:r>
        <w:rPr>
          <w:rFonts w:eastAsia="Times New Roman" w:cs="Times New Roman" w:ascii="Verdana" w:hAnsi="Verdana"/>
          <w:b w:val="false"/>
          <w:bCs w:val="false"/>
          <w:iCs/>
          <w:color w:val="000000"/>
          <w:sz w:val="20"/>
          <w:szCs w:val="20"/>
        </w:rPr>
        <w:t xml:space="preserve"> aparelhos de telefone celular para suprir as necessidades de comunicação da Secretaria Municipal de Assistência, Desenvolvimento Social e Família e dos equipamentos socioassistenciais, </w:t>
      </w:r>
      <w:r>
        <w:rPr>
          <w:rFonts w:cs="Arial" w:ascii="Verdana" w:hAnsi="Verdana"/>
          <w:b w:val="false"/>
          <w:bCs w:val="false"/>
          <w:iCs/>
          <w:color w:val="000000"/>
          <w:sz w:val="20"/>
          <w:szCs w:val="20"/>
        </w:rPr>
        <w:t>nos termos da tabela abaixo, conforme condições e exigências estabelecidas neste instrumento e no ETP.</w:t>
      </w:r>
    </w:p>
    <w:p>
      <w:pPr>
        <w:pStyle w:val="Normal"/>
        <w:spacing w:before="0" w:after="0"/>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DOS RECURSOS ORÇAMENTÁRIOS</w:t>
      </w:r>
    </w:p>
    <w:p>
      <w:pPr>
        <w:pStyle w:val="Normal"/>
        <w:spacing w:before="57" w:after="57"/>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before="57" w:after="57"/>
        <w:jc w:val="both"/>
        <w:rPr>
          <w:rFonts w:ascii="Verdana" w:hAnsi="Verdana"/>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Assistência, Desenvolvimento Social e Família</w:t>
      </w:r>
    </w:p>
    <w:p>
      <w:pPr>
        <w:pStyle w:val="Normal"/>
        <w:numPr>
          <w:ilvl w:val="0"/>
          <w:numId w:val="1"/>
        </w:numPr>
        <w:spacing w:lineRule="auto" w:line="240"/>
        <w:jc w:val="both"/>
        <w:rPr>
          <w:rFonts w:ascii="Verdana" w:hAnsi="Verdana"/>
          <w:sz w:val="20"/>
          <w:szCs w:val="20"/>
        </w:rPr>
      </w:pPr>
      <w:r>
        <w:rPr>
          <w:rFonts w:ascii="Verdana" w:hAnsi="Verdana"/>
          <w:sz w:val="20"/>
          <w:szCs w:val="20"/>
        </w:rPr>
        <w:t>FICHA – FONTE: 0</w:t>
      </w:r>
      <w:r>
        <w:rPr>
          <w:rFonts w:eastAsia="Times New Roman" w:cs="Times New Roman" w:ascii="Verdana" w:hAnsi="Verdana"/>
          <w:sz w:val="20"/>
          <w:szCs w:val="20"/>
        </w:rPr>
        <w:t>0427 – 166000009999 - no valor de R$</w:t>
      </w:r>
      <w:r>
        <w:rPr>
          <w:rFonts w:eastAsia="Times New Roman" w:cs="Times New Roman" w:ascii="Verdana" w:hAnsi="Verdana"/>
          <w:b w:val="false"/>
          <w:bCs w:val="false"/>
          <w:sz w:val="20"/>
          <w:szCs w:val="20"/>
          <w:u w:val="none"/>
        </w:rPr>
        <w:t xml:space="preserve"> </w:t>
      </w:r>
      <w:r>
        <w:rPr>
          <w:rFonts w:eastAsia="Times New Roman" w:cs="Arial" w:ascii="Verdana" w:hAnsi="Verdana"/>
          <w:b w:val="false"/>
          <w:bCs w:val="false"/>
          <w:sz w:val="20"/>
          <w:szCs w:val="20"/>
          <w:u w:val="none"/>
        </w:rPr>
        <w:t>2.540,00 (dois mil quinhentos e quarenta reais)</w:t>
      </w:r>
    </w:p>
    <w:p>
      <w:pPr>
        <w:pStyle w:val="Normal"/>
        <w:spacing w:lineRule="auto" w:line="240"/>
        <w:ind w:hanging="0" w:left="720"/>
        <w:jc w:val="both"/>
        <w:rPr>
          <w:rFonts w:ascii="Verdana" w:hAnsi="Verdana" w:eastAsia="Times New Roman" w:cs="Arial"/>
          <w:b w:val="false"/>
          <w:bCs w:val="false"/>
          <w:sz w:val="20"/>
          <w:szCs w:val="20"/>
          <w:u w:val="none"/>
        </w:rPr>
      </w:pPr>
      <w:r>
        <w:rPr>
          <w:rFonts w:eastAsia="Times New Roman" w:cs="Arial" w:ascii="Verdana" w:hAnsi="Verdana"/>
          <w:b w:val="false"/>
          <w:bCs w:val="false"/>
          <w:sz w:val="20"/>
          <w:szCs w:val="20"/>
          <w:u w:val="none"/>
        </w:rPr>
      </w:r>
    </w:p>
    <w:p>
      <w:pPr>
        <w:pStyle w:val="Normal"/>
        <w:numPr>
          <w:ilvl w:val="0"/>
          <w:numId w:val="1"/>
        </w:numPr>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lang w:eastAsia="ar-SA"/>
        </w:rPr>
        <w:t>FICHA - FONTE: 00413-150000000000 – no valor de R$ 3.810,00 (tres mil oitocentos e dez reais)</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DO CREDENCIAMENTO</w:t>
      </w:r>
    </w:p>
    <w:p>
      <w:pPr>
        <w:pStyle w:val="Default"/>
        <w:spacing w:before="57" w:after="57"/>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before="57" w:after="57"/>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before="57" w:after="57"/>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before="57" w:after="57"/>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spacing w:before="57" w:after="57"/>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before="57" w:after="57"/>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DA PARTICIPAÇÃO NO PREGÃO.</w:t>
      </w:r>
    </w:p>
    <w:p>
      <w:pPr>
        <w:pStyle w:val="Normal"/>
        <w:spacing w:before="57" w:after="57"/>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before="57" w:after="57"/>
        <w:jc w:val="both"/>
        <w:rPr>
          <w:rFonts w:ascii="Verdana" w:hAnsi="Verdana"/>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57" w:after="57"/>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2026,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20"/>
          <w:tab w:val="left" w:pos="1440" w:leader="none"/>
        </w:tabs>
        <w:snapToGrid w:val="false"/>
        <w:spacing w:before="57" w:after="57"/>
        <w:jc w:val="both"/>
        <w:rPr>
          <w:rFonts w:ascii="Verdana" w:hAnsi="Verdana"/>
          <w:sz w:val="20"/>
          <w:szCs w:val="20"/>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57" w:after="57"/>
        <w:jc w:val="both"/>
        <w:rPr>
          <w:rFonts w:ascii="Verdana" w:hAnsi="Verdana"/>
          <w:sz w:val="20"/>
          <w:szCs w:val="20"/>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before="57" w:after="57"/>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before="57" w:after="57"/>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before="57" w:after="57"/>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57" w:after="57"/>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57" w:after="57"/>
        <w:ind w:hanging="0" w:left="0"/>
        <w:rPr>
          <w:rFonts w:ascii="Verdana" w:hAnsi="Verdana"/>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57" w:after="57"/>
        <w:ind w:hanging="0" w:left="0"/>
        <w:rPr>
          <w:rFonts w:ascii="Verdana" w:hAnsi="Verdana"/>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57" w:after="57"/>
        <w:ind w:hanging="0" w:left="0"/>
        <w:rPr>
          <w:rFonts w:ascii="Verdana" w:hAnsi="Verdana"/>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57" w:after="57"/>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before="0" w:after="0"/>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20"/>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20"/>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20"/>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20"/>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before="57" w:after="57"/>
        <w:jc w:val="both"/>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before="57" w:after="57"/>
        <w:ind w:hanging="0" w:lef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before="57" w:after="57"/>
        <w:ind w:hanging="0" w:lef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bCs/>
          <w:iCs/>
          <w:color w:val="000000"/>
          <w:sz w:val="20"/>
          <w:szCs w:val="20"/>
        </w:rPr>
        <w:t>6.2. Todas as especificações do objeto contidas na proposta vinculam a Contratada;</w:t>
      </w:r>
    </w:p>
    <w:p>
      <w:pPr>
        <w:pStyle w:val="Normal"/>
        <w:tabs>
          <w:tab w:val="clear" w:pos="720"/>
          <w:tab w:val="left" w:pos="617" w:leader="none"/>
          <w:tab w:val="left" w:pos="1083" w:leader="none"/>
        </w:tabs>
        <w:snapToGrid w:val="false"/>
        <w:spacing w:before="57" w:after="57"/>
        <w:jc w:val="both"/>
        <w:rPr>
          <w:rFonts w:ascii="Verdana" w:hAnsi="Verdana"/>
          <w:sz w:val="20"/>
          <w:szCs w:val="20"/>
        </w:rPr>
      </w:pPr>
      <w:r>
        <w:rPr>
          <w:rFonts w:cs="Arial" w:ascii="Verdana" w:hAnsi="Verdana"/>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6.4.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before="57" w:after="57"/>
        <w:jc w:val="both"/>
        <w:rPr>
          <w:rFonts w:ascii="Verdana" w:hAnsi="Verdana"/>
          <w:sz w:val="20"/>
          <w:szCs w:val="20"/>
        </w:rPr>
      </w:pPr>
      <w:r>
        <w:rPr>
          <w:rFonts w:cs="Arial" w:ascii="Verdana" w:hAnsi="Verdana"/>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before="57" w:after="57"/>
        <w:jc w:val="both"/>
        <w:rPr>
          <w:rFonts w:ascii="Verdana" w:hAnsi="Verdana"/>
          <w:sz w:val="20"/>
          <w:szCs w:val="20"/>
        </w:rPr>
      </w:pPr>
      <w:r>
        <w:rPr>
          <w:rFonts w:cs="Arial" w:ascii="Verdana" w:hAnsi="Verdana"/>
          <w:bCs/>
          <w:iCs/>
          <w:color w:val="000000"/>
          <w:sz w:val="20"/>
          <w:szCs w:val="20"/>
        </w:rPr>
        <w:t>6.7.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before="57" w:after="57"/>
        <w:jc w:val="both"/>
        <w:rPr>
          <w:rFonts w:ascii="Verdana" w:hAnsi="Verdana"/>
          <w:sz w:val="20"/>
          <w:szCs w:val="20"/>
        </w:rPr>
      </w:pPr>
      <w:r>
        <w:rPr>
          <w:rFonts w:cs="Arial" w:ascii="Verdana" w:hAnsi="Verdana"/>
          <w:bCs/>
          <w:iCs/>
          <w:color w:val="000000"/>
          <w:sz w:val="20"/>
          <w:szCs w:val="20"/>
        </w:rPr>
        <w:t>6.8.</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240" w:before="57" w:after="57"/>
        <w:ind w:hanging="0" w:left="0"/>
        <w:rPr>
          <w:rFonts w:ascii="Verdana" w:hAnsi="Verdana" w:eastAsia="Segoe UI" w:cs="Arial"/>
          <w:color w:val="000000"/>
        </w:rPr>
      </w:pPr>
      <w:r>
        <w:rPr>
          <w:rFonts w:eastAsia="Segoe UI" w:cs="Arial" w:ascii="Verdana" w:hAnsi="Verdana"/>
          <w:color w:val="000000"/>
        </w:rPr>
      </w:r>
    </w:p>
    <w:p>
      <w:pPr>
        <w:pStyle w:val="Nivel01"/>
        <w:numPr>
          <w:ilvl w:val="0"/>
          <w:numId w:val="2"/>
        </w:numPr>
        <w:spacing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20"/>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7.9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spacing w:before="57" w:after="57"/>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before="57" w:after="57"/>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before="57" w:after="57"/>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before="57" w:after="57"/>
        <w:jc w:val="both"/>
        <w:rPr>
          <w:rFonts w:ascii="Verdana" w:hAnsi="Verdana"/>
          <w:sz w:val="20"/>
          <w:szCs w:val="20"/>
        </w:rPr>
      </w:pPr>
      <w:r>
        <w:rPr>
          <w:rFonts w:cs="Arial" w:ascii="Verdana" w:hAnsi="Verdana"/>
          <w:color w:val="000000"/>
          <w:sz w:val="20"/>
          <w:szCs w:val="20"/>
        </w:rPr>
        <w:t>7.14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7.15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7.16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 xml:space="preserve">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before="57" w:after="57"/>
        <w:jc w:val="both"/>
        <w:rPr>
          <w:rFonts w:ascii="Verdana" w:hAnsi="Verdana"/>
          <w:sz w:val="20"/>
          <w:szCs w:val="20"/>
        </w:rPr>
      </w:pPr>
      <w:r>
        <w:rPr>
          <w:rFonts w:cs="Arial" w:ascii="Verdana" w:hAnsi="Verdana"/>
          <w:color w:val="000000"/>
          <w:sz w:val="20"/>
          <w:szCs w:val="20"/>
        </w:rPr>
        <w:t>7.18 O Critério de julgamento adotado será o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7.19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7.25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7.26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7.26.2 No país;</w:t>
      </w:r>
    </w:p>
    <w:p>
      <w:pPr>
        <w:pStyle w:val="Normal"/>
        <w:spacing w:before="57" w:after="57"/>
        <w:jc w:val="both"/>
        <w:rPr>
          <w:rFonts w:ascii="Verdana" w:hAnsi="Verdana"/>
          <w:sz w:val="20"/>
          <w:szCs w:val="20"/>
        </w:rPr>
      </w:pPr>
      <w:r>
        <w:rPr>
          <w:rFonts w:cs="Arial" w:ascii="Verdana" w:hAnsi="Verdana"/>
          <w:color w:val="000000"/>
          <w:sz w:val="20"/>
          <w:szCs w:val="20"/>
          <w:lang w:eastAsia="en-US"/>
        </w:rPr>
        <w:t>7.26.3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7.26.4 Por empresas que invistam em pesquisa e no desenvolvimento de tecnologia no País;</w:t>
      </w:r>
    </w:p>
    <w:p>
      <w:pPr>
        <w:pStyle w:val="Normal"/>
        <w:spacing w:before="57" w:after="57"/>
        <w:jc w:val="both"/>
        <w:rPr>
          <w:rFonts w:ascii="Verdana" w:hAnsi="Verdana"/>
          <w:sz w:val="20"/>
          <w:szCs w:val="20"/>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7.27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7.29 Após a negociação do preço, o Pregoeiro iniciará a fase de aceitação e julgamento da proposta.</w:t>
      </w:r>
    </w:p>
    <w:p>
      <w:pPr>
        <w:pStyle w:val="ListParagraph"/>
        <w:tabs>
          <w:tab w:val="clear" w:pos="720"/>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 xml:space="preserve">7.30 </w:t>
      </w:r>
      <w:r>
        <w:rPr>
          <w:rFonts w:ascii="Verdana" w:hAnsi="Verdana"/>
          <w:b/>
          <w:i/>
          <w:iCs/>
          <w:sz w:val="20"/>
          <w:szCs w:val="20"/>
          <w:highlight w:val="yellow"/>
          <w:u w:val="single"/>
        </w:rPr>
        <w:t>Caso houver divergência entre o item selecionado no catálogo do www.portaldecompraspublicas.com.br e as especificações contidas no Termo de Referência prevalecem as especificações do Termo de Referência, inclusive para fins de desclassificação.</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8.4.1 não estiver em conformidade com os requisitos estabelecidos neste edital;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 É vedado à proponente incluir na Planilha de Custos e Formação de Preços:</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 xml:space="preserve">8.5.5 rubrica para pagamento do Imposto de Renda Pessoa Jurídica – IRPJ e da Contribuição Social Sobre o Lucro Líquido – CSLL; </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8.5.6 rubrica denominada “verba” ou “verba provisional”, pois o item não está vinculado a qualquer contraprestação mensurável.</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before="57" w:after="57"/>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before="57" w:after="57"/>
        <w:jc w:val="both"/>
        <w:rPr/>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Style w:val="InternetLink2"/>
          <w:rFonts w:cs="Arial" w:ascii="Verdana" w:hAnsi="Verdana"/>
          <w:b/>
          <w:bCs/>
          <w:color w:val="000000"/>
          <w:sz w:val="20"/>
          <w:szCs w:val="20"/>
        </w:rPr>
        <w:t>Portal de Compras Públicas –</w:t>
      </w:r>
      <w:r>
        <w:rPr>
          <w:rStyle w:val="InternetLink2"/>
          <w:rFonts w:cs="Arial" w:ascii="Verdana" w:hAnsi="Verdana"/>
          <w:color w:val="000000"/>
          <w:sz w:val="20"/>
          <w:szCs w:val="20"/>
        </w:rPr>
        <w:t xml:space="preserve"> </w:t>
      </w:r>
      <w:hyperlink r:id="rId4">
        <w:bookmarkStart w:id="10" w:name="_Hlk123138684_Copia_1"/>
        <w:r>
          <w:rPr>
            <w:rStyle w:val="Hyperlink"/>
            <w:rFonts w:cs="Arial" w:ascii="Verdana" w:hAnsi="Verdana"/>
            <w:b/>
            <w:bCs/>
            <w:sz w:val="20"/>
            <w:szCs w:val="20"/>
          </w:rPr>
          <w:t>www.portaldecompraspublicas.com.br</w:t>
        </w:r>
      </w:hyperlink>
      <w:bookmarkEnd w:id="10"/>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8.11.1 É facultado ao pregoeiro prorrogar o prazo estabelecido, a partir de solicitação fundamentada feita no chat pelo licitante, antes de findo o prazo.</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en-US"/>
        </w:rPr>
        <w:t>8.11.2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before="0" w:after="0"/>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5">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6">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7">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8">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240" w:before="57" w:after="57"/>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9">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before="57" w:after="57"/>
        <w:ind w:hanging="0" w:left="0"/>
        <w:contextualSpacing w:val="false"/>
        <w:jc w:val="both"/>
        <w:rPr>
          <w:rFonts w:ascii="Verdana" w:hAnsi="Verdana"/>
          <w:sz w:val="20"/>
          <w:szCs w:val="20"/>
        </w:rPr>
      </w:pPr>
      <w:r>
        <w:rPr>
          <w:rFonts w:cs="Arial" w:ascii="Verdana" w:hAnsi="Verdana"/>
          <w:bCs/>
          <w:color w:val="000000"/>
          <w:sz w:val="20"/>
          <w:szCs w:val="20"/>
        </w:rPr>
        <w:t>Constatado o atendimento às exigências de habilitação fixadas no Edital, o licitante será declarado vencedor.</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20"/>
          <w:tab w:val="left" w:pos="617" w:leader="none"/>
        </w:tabs>
        <w:spacing w:before="57" w:after="57"/>
        <w:ind w:hanging="0" w:left="0"/>
        <w:contextualSpacing w:val="false"/>
        <w:jc w:val="both"/>
        <w:rPr>
          <w:rFonts w:ascii="Verdana" w:hAnsi="Verdana"/>
          <w:sz w:val="20"/>
          <w:szCs w:val="20"/>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DOS RECURSOS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before="57" w:after="57"/>
        <w:rPr>
          <w:rFonts w:ascii="Verdana" w:hAnsi="Verdana"/>
          <w:sz w:val="20"/>
          <w:szCs w:val="20"/>
        </w:rPr>
      </w:pPr>
      <w:r>
        <w:rPr>
          <w:rFonts w:ascii="Verdana" w:hAnsi="Verdana"/>
          <w:sz w:val="20"/>
          <w:szCs w:val="20"/>
        </w:rPr>
      </w:r>
    </w:p>
    <w:p>
      <w:pPr>
        <w:pStyle w:val="Nivel01"/>
        <w:numPr>
          <w:ilvl w:val="0"/>
          <w:numId w:val="2"/>
        </w:numPr>
        <w:spacing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spacing w:before="0" w:after="0"/>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before="0" w:after="0"/>
        <w:rPr>
          <w:rFonts w:ascii="Verdana" w:hAnsi="Verdana"/>
          <w:sz w:val="20"/>
          <w:szCs w:val="20"/>
        </w:rPr>
      </w:pPr>
      <w:r>
        <w:rPr>
          <w:rFonts w:ascii="Verdana" w:hAnsi="Verdana"/>
          <w:sz w:val="20"/>
          <w:szCs w:val="20"/>
        </w:rPr>
      </w:r>
    </w:p>
    <w:p>
      <w:pPr>
        <w:pStyle w:val="Nivel1"/>
        <w:spacing w:lineRule="auto" w:line="240" w:before="0" w:after="0"/>
        <w:ind w:hanging="0" w:left="0"/>
        <w:rPr>
          <w:rFonts w:ascii="Verdana" w:hAnsi="Verdana"/>
          <w:sz w:val="20"/>
          <w:szCs w:val="20"/>
        </w:rPr>
      </w:pPr>
      <w:r>
        <w:rPr>
          <w:rFonts w:ascii="Verdana" w:hAnsi="Verdana"/>
          <w:sz w:val="20"/>
          <w:szCs w:val="20"/>
        </w:rPr>
        <w:t xml:space="preserve">14. DA GARANTIA, </w:t>
      </w:r>
      <w:r>
        <w:rPr>
          <w:rFonts w:cs="Times New Roman" w:ascii="Verdana" w:hAnsi="Verdana"/>
          <w:sz w:val="20"/>
          <w:szCs w:val="20"/>
        </w:rPr>
        <w:t>MODELO DE EXECUÇÃO CONTRATUAL E MODELO DE GESTÃO DO CONTRATO</w:t>
      </w:r>
    </w:p>
    <w:p>
      <w:pPr>
        <w:pStyle w:val="Normal"/>
        <w:jc w:val="both"/>
        <w:rPr>
          <w:rFonts w:ascii="Verdana" w:hAnsi="Verdana"/>
          <w:sz w:val="20"/>
          <w:szCs w:val="20"/>
        </w:rPr>
      </w:pPr>
      <w:r>
        <w:rPr>
          <w:rFonts w:cs="Arial" w:ascii="Verdana" w:hAnsi="Verdana"/>
          <w:color w:val="000000"/>
          <w:sz w:val="20"/>
          <w:szCs w:val="20"/>
        </w:rPr>
        <w:t xml:space="preserve">14.1. </w:t>
      </w:r>
      <w:r>
        <w:rPr>
          <w:rFonts w:eastAsia="Arial" w:cs="Arial" w:ascii="Verdana" w:hAnsi="Verdana"/>
          <w:color w:val="000000"/>
          <w:sz w:val="20"/>
          <w:szCs w:val="20"/>
        </w:rPr>
        <w:t xml:space="preserve">O prazo de garantia é aquele estabelecido na Lei n. 8.078, de 11 de setembro de 1990 (Código </w:t>
      </w:r>
      <w:r>
        <w:rPr>
          <w:rFonts w:eastAsia="Arial" w:cs="Arial" w:ascii="Verdana" w:hAnsi="Verdana"/>
          <w:bCs/>
          <w:iCs/>
          <w:color w:val="000000"/>
          <w:sz w:val="20"/>
          <w:szCs w:val="20"/>
          <w:lang w:eastAsia="en-US"/>
        </w:rPr>
        <w:t>de Defesa do Consumidor), sendo 3 (três) meses de garantia legal (art. 26 do CDC) e 9 (nove) meses de garantia contratual (art. 50 do CDC), ou de acordo com as normas do fabricante, prevalecendo o maior prazo, contado a partir do primeiro dia útil subsequente ao recebimento definitivo do objeto, sem prejuízo de outra garantia complementar fornecida pelo licitante/fabricante em sua proposta comercial.</w:t>
      </w:r>
    </w:p>
    <w:p>
      <w:pPr>
        <w:pStyle w:val="Normal"/>
        <w:jc w:val="both"/>
        <w:rPr>
          <w:rFonts w:ascii="Verdana" w:hAnsi="Verdana"/>
          <w:sz w:val="20"/>
          <w:szCs w:val="20"/>
        </w:rPr>
      </w:pPr>
      <w:r>
        <w:rPr>
          <w:rFonts w:eastAsia="Arial" w:cs="Arial" w:ascii="Verdana" w:hAnsi="Verdana"/>
          <w:bCs/>
          <w:iCs/>
          <w:color w:val="000000"/>
          <w:sz w:val="20"/>
          <w:szCs w:val="20"/>
          <w:lang w:eastAsia="en-US"/>
        </w:rPr>
        <w:t xml:space="preserve">14.2. </w:t>
      </w:r>
      <w:r>
        <w:rPr>
          <w:rFonts w:eastAsia="Arial" w:cs="Times New Roman" w:ascii="Verdana" w:hAnsi="Verdana"/>
          <w:bCs/>
          <w:iCs/>
          <w:color w:val="000000"/>
          <w:sz w:val="20"/>
          <w:szCs w:val="20"/>
          <w:lang w:eastAsia="en-US"/>
        </w:rPr>
        <w:t xml:space="preserve">O prazo </w:t>
      </w:r>
      <w:r>
        <w:rPr>
          <w:rFonts w:eastAsia="Times New Roman" w:cs="Times New Roman" w:ascii="Verdana" w:hAnsi="Verdana"/>
          <w:bCs/>
          <w:iCs/>
          <w:color w:val="000000"/>
          <w:sz w:val="20"/>
          <w:szCs w:val="20"/>
          <w:lang w:eastAsia="en-US"/>
        </w:rPr>
        <w:t>de entrega do objeto</w:t>
      </w:r>
      <w:r>
        <w:rPr>
          <w:rFonts w:eastAsia="Arial" w:cs="Times New Roman" w:ascii="Verdana" w:hAnsi="Verdana"/>
          <w:bCs/>
          <w:iCs/>
          <w:color w:val="000000"/>
          <w:sz w:val="20"/>
          <w:szCs w:val="20"/>
          <w:lang w:eastAsia="en-US"/>
        </w:rPr>
        <w:t xml:space="preserve"> será estipulado em </w:t>
      </w:r>
      <w:r>
        <w:rPr>
          <w:rFonts w:eastAsia="Arial" w:cs="Arial" w:ascii="Verdana" w:hAnsi="Verdana"/>
          <w:b w:val="false"/>
          <w:bCs w:val="false"/>
          <w:iCs/>
          <w:color w:val="000000"/>
          <w:sz w:val="20"/>
          <w:szCs w:val="20"/>
          <w:lang w:eastAsia="en-US"/>
        </w:rPr>
        <w:t xml:space="preserve">por meio de entrega única </w:t>
      </w:r>
      <w:r>
        <w:rPr>
          <w:rFonts w:eastAsia="Times New Roman" w:cs="Arial" w:ascii="Verdana" w:hAnsi="Verdana"/>
          <w:b w:val="false"/>
          <w:bCs w:val="false"/>
          <w:iCs/>
          <w:color w:val="auto"/>
          <w:kern w:val="0"/>
          <w:sz w:val="20"/>
          <w:szCs w:val="20"/>
          <w:lang w:val="pt-BR" w:eastAsia="zh-CN" w:bidi="ar-SA"/>
        </w:rPr>
        <w:t>do</w:t>
      </w:r>
      <w:r>
        <w:rPr>
          <w:rFonts w:eastAsia="Arial" w:cs="Arial" w:ascii="Verdana" w:hAnsi="Verdana"/>
          <w:b w:val="false"/>
          <w:bCs w:val="false"/>
          <w:iCs/>
          <w:color w:val="000000"/>
          <w:sz w:val="20"/>
          <w:szCs w:val="20"/>
          <w:lang w:eastAsia="en-US"/>
        </w:rPr>
        <w:t xml:space="preserve"> item, sendo necessária a emissão de autorização de fornecimento </w:t>
      </w:r>
      <w:r>
        <w:rPr>
          <w:rFonts w:eastAsia="Times New Roman" w:cs="Arial" w:ascii="Verdana" w:hAnsi="Verdana"/>
          <w:b w:val="false"/>
          <w:bCs w:val="false"/>
          <w:iCs/>
          <w:color w:val="auto"/>
          <w:kern w:val="0"/>
          <w:sz w:val="20"/>
          <w:szCs w:val="20"/>
          <w:lang w:val="pt-BR" w:eastAsia="zh-CN" w:bidi="ar-SA"/>
        </w:rPr>
        <w:t>dos itens concedendo o prazo de até 20 (vinte) dias corridos para a entrega, dispensada a formalização de contrato, sendo este substituído pela emissão da nota de empenho</w:t>
      </w:r>
      <w:r>
        <w:rPr>
          <w:rFonts w:eastAsia="Times New Roman" w:cs="Times New Roman" w:ascii="Verdana" w:hAnsi="Verdana"/>
          <w:b w:val="false"/>
          <w:bCs/>
          <w:iCs/>
          <w:color w:val="auto"/>
          <w:kern w:val="0"/>
          <w:sz w:val="20"/>
          <w:szCs w:val="20"/>
          <w:lang w:val="pt-BR" w:eastAsia="zh-CN" w:bidi="ar-SA"/>
        </w:rPr>
        <w:t>.</w:t>
      </w:r>
    </w:p>
    <w:p>
      <w:pPr>
        <w:pStyle w:val="Normal"/>
        <w:tabs>
          <w:tab w:val="clear" w:pos="720"/>
          <w:tab w:val="left" w:pos="0" w:leader="none"/>
        </w:tabs>
        <w:spacing w:lineRule="auto" w:line="240"/>
        <w:ind w:hanging="0" w:left="0" w:right="0"/>
        <w:jc w:val="both"/>
        <w:rPr>
          <w:rFonts w:ascii="Verdana" w:hAnsi="Verdana"/>
          <w:sz w:val="20"/>
          <w:szCs w:val="20"/>
        </w:rPr>
      </w:pPr>
      <w:r>
        <w:rPr>
          <w:rFonts w:ascii="Verdana" w:hAnsi="Verdana"/>
          <w:b w:val="false"/>
          <w:bCs w:val="false"/>
          <w:sz w:val="20"/>
          <w:szCs w:val="20"/>
        </w:rPr>
        <w:t>14.3.</w:t>
      </w:r>
      <w:r>
        <w:rPr>
          <w:rFonts w:ascii="Verdana" w:hAnsi="Verdana"/>
          <w:sz w:val="20"/>
          <w:szCs w:val="20"/>
        </w:rPr>
        <w:t xml:space="preserve"> </w:t>
      </w:r>
      <w:r>
        <w:rPr>
          <w:rFonts w:eastAsia="Times New Roman" w:cs="Times New Roman" w:ascii="Verdana" w:hAnsi="Verdana"/>
          <w:sz w:val="20"/>
          <w:szCs w:val="20"/>
        </w:rPr>
        <w:t>O objeto</w:t>
      </w:r>
      <w:r>
        <w:rPr>
          <w:rFonts w:ascii="Verdana" w:hAnsi="Verdana"/>
          <w:sz w:val="20"/>
          <w:szCs w:val="20"/>
        </w:rPr>
        <w:t xml:space="preserve"> deverá ser entregue no seguinte endereço:</w:t>
      </w:r>
    </w:p>
    <w:p>
      <w:pPr>
        <w:pStyle w:val="Normal"/>
        <w:tabs>
          <w:tab w:val="clear" w:pos="720"/>
          <w:tab w:val="left" w:pos="0" w:leader="none"/>
        </w:tabs>
        <w:spacing w:lineRule="auto" w:line="24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pt-BR" w:bidi="ar-SA"/>
        </w:rPr>
        <w:t>- Departamento de Almoxarifado Central</w:t>
      </w:r>
      <w:r>
        <w:rPr>
          <w:rFonts w:ascii="Verdana" w:hAnsi="Verdana"/>
          <w:sz w:val="20"/>
          <w:szCs w:val="20"/>
        </w:rPr>
        <w:t xml:space="preserve"> da Prefeitura Municipal de São Gabriel da Palha.</w:t>
      </w:r>
    </w:p>
    <w:p>
      <w:pPr>
        <w:pStyle w:val="Normal"/>
        <w:tabs>
          <w:tab w:val="clear" w:pos="720"/>
          <w:tab w:val="left" w:pos="0" w:leader="none"/>
        </w:tabs>
        <w:spacing w:lineRule="auto" w:line="240"/>
        <w:ind w:hanging="0"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 Praça Vicente Glazar, 159, Bairro </w:t>
      </w:r>
      <w:r>
        <w:rPr>
          <w:rFonts w:eastAsia="Times New Roman" w:cs="Times New Roman" w:ascii="Verdana" w:hAnsi="Verdana"/>
          <w:color w:val="auto"/>
          <w:kern w:val="0"/>
          <w:sz w:val="20"/>
          <w:szCs w:val="20"/>
          <w:lang w:val="pt-BR" w:eastAsia="pt-BR" w:bidi="ar-SA"/>
        </w:rPr>
        <w:t>Glória.</w:t>
      </w:r>
    </w:p>
    <w:p>
      <w:pPr>
        <w:pStyle w:val="Normal"/>
        <w:tabs>
          <w:tab w:val="clear" w:pos="720"/>
          <w:tab w:val="left" w:pos="0" w:leader="none"/>
        </w:tabs>
        <w:spacing w:lineRule="auto" w:line="240"/>
        <w:ind w:hanging="0" w:left="0" w:right="0"/>
        <w:jc w:val="both"/>
        <w:rPr>
          <w:rFonts w:ascii="Verdana" w:hAnsi="Verdana"/>
          <w:sz w:val="20"/>
          <w:szCs w:val="20"/>
        </w:rPr>
      </w:pPr>
      <w:r>
        <w:rPr>
          <w:rFonts w:eastAsia="Times New Roman" w:cs="Times New Roman" w:ascii="Verdana" w:hAnsi="Verdana"/>
          <w:color w:val="auto"/>
          <w:kern w:val="0"/>
          <w:sz w:val="20"/>
          <w:szCs w:val="20"/>
          <w:lang w:val="pt-BR" w:eastAsia="pt-BR" w:bidi="ar-SA"/>
        </w:rPr>
        <w:t xml:space="preserve"> </w:t>
      </w:r>
      <w:r>
        <w:rPr>
          <w:rFonts w:eastAsia="Times New Roman" w:cs="Times New Roman" w:ascii="Verdana" w:hAnsi="Verdana"/>
          <w:color w:val="auto"/>
          <w:kern w:val="0"/>
          <w:sz w:val="20"/>
          <w:szCs w:val="20"/>
          <w:lang w:val="pt-BR" w:eastAsia="pt-BR" w:bidi="ar-SA"/>
        </w:rPr>
        <w:t>- São Gabriel da Palha – ES, Cep .29.780-000.</w:t>
      </w:r>
    </w:p>
    <w:p>
      <w:pPr>
        <w:pStyle w:val="Normal"/>
        <w:tabs>
          <w:tab w:val="clear" w:pos="720"/>
          <w:tab w:val="left" w:pos="508" w:leader="none"/>
        </w:tabs>
        <w:spacing w:lineRule="auto" w:line="240"/>
        <w:ind w:hanging="0"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 Telefone de contato: (27) ) </w:t>
      </w:r>
      <w:r>
        <w:rPr>
          <w:rFonts w:eastAsia="Times New Roman" w:cs="Times New Roman" w:ascii="Verdana" w:hAnsi="Verdana"/>
          <w:sz w:val="20"/>
          <w:szCs w:val="20"/>
        </w:rPr>
        <w:t>99975</w:t>
      </w:r>
      <w:r>
        <w:rPr>
          <w:rFonts w:eastAsia="Times New Roman" w:cs="Times New Roman" w:ascii="Verdana" w:hAnsi="Verdana"/>
          <w:color w:val="auto"/>
          <w:kern w:val="0"/>
          <w:sz w:val="20"/>
          <w:szCs w:val="20"/>
          <w:lang w:val="pt-BR" w:eastAsia="pt-BR" w:bidi="ar-SA"/>
        </w:rPr>
        <w:t>-6571</w:t>
      </w:r>
    </w:p>
    <w:p>
      <w:pPr>
        <w:pStyle w:val="Normal"/>
        <w:tabs>
          <w:tab w:val="clear" w:pos="720"/>
          <w:tab w:val="left" w:pos="508" w:leader="none"/>
        </w:tabs>
        <w:spacing w:lineRule="auto" w:line="240"/>
        <w:ind w:hanging="0" w:left="20" w:right="0"/>
        <w:jc w:val="both"/>
        <w:rPr>
          <w:rFonts w:ascii="Verdana" w:hAnsi="Verdana"/>
          <w:sz w:val="20"/>
          <w:szCs w:val="20"/>
        </w:rPr>
      </w:pPr>
      <w:r>
        <w:rPr>
          <w:rFonts w:ascii="Verdana" w:hAnsi="Verdana"/>
          <w:sz w:val="20"/>
          <w:szCs w:val="20"/>
        </w:rPr>
        <w:t xml:space="preserve"> </w:t>
      </w:r>
      <w:r>
        <w:rPr>
          <w:rFonts w:ascii="Verdana" w:hAnsi="Verdana"/>
          <w:sz w:val="20"/>
          <w:szCs w:val="20"/>
        </w:rPr>
        <w:t>- E-mail: assistenciassgp@gmail.com</w:t>
      </w:r>
    </w:p>
    <w:p>
      <w:pPr>
        <w:pStyle w:val="Normal"/>
        <w:tabs>
          <w:tab w:val="clear" w:pos="720"/>
          <w:tab w:val="left" w:pos="508" w:leader="none"/>
        </w:tabs>
        <w:spacing w:lineRule="auto" w:line="240"/>
        <w:ind w:hanging="0" w:left="0" w:right="0"/>
        <w:jc w:val="both"/>
        <w:rPr>
          <w:rFonts w:ascii="Verdana" w:hAnsi="Verdana"/>
          <w:sz w:val="20"/>
          <w:szCs w:val="20"/>
        </w:rPr>
      </w:pPr>
      <w:r>
        <w:rPr>
          <w:rFonts w:cs="Times New Roman" w:ascii="Verdana" w:hAnsi="Verdana"/>
          <w:b w:val="false"/>
          <w:bCs w:val="false"/>
          <w:iCs/>
          <w:sz w:val="20"/>
          <w:szCs w:val="20"/>
        </w:rPr>
        <w:t xml:space="preserve"> </w:t>
      </w:r>
      <w:r>
        <w:rPr>
          <w:rFonts w:cs="Times New Roman" w:ascii="Verdana" w:hAnsi="Verdana"/>
          <w:b w:val="false"/>
          <w:bCs w:val="false"/>
          <w:iCs/>
          <w:sz w:val="20"/>
          <w:szCs w:val="20"/>
        </w:rPr>
        <w:t>- Responsável: Secretaria Municipal de Assistência, Desenvolvimento Social e Família.</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iCs/>
          <w:color w:val="auto"/>
          <w:sz w:val="20"/>
          <w:szCs w:val="20"/>
        </w:rPr>
        <w:t>14.4</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14.5.</w:t>
      </w:r>
      <w:r>
        <w:rPr>
          <w:rFonts w:cs="Times New Roman" w:ascii="Verdana" w:hAnsi="Verdana"/>
          <w:bCs/>
          <w:color w:val="auto"/>
          <w:sz w:val="20"/>
          <w:szCs w:val="20"/>
        </w:rPr>
        <w:t xml:space="preserve"> O item será recebido pelo(a) responsável  do Almoxarifado Central juntamente com um servidor da Secretaria requisitante para acompanhamento e fiscalização e posterior verificação de sua conformidade com as especificações constantes neste Termo de Referência e na proposta.</w:t>
      </w:r>
    </w:p>
    <w:p>
      <w:pPr>
        <w:pStyle w:val="ListParagraph"/>
        <w:spacing w:lineRule="auto" w:line="240"/>
        <w:ind w:hanging="0" w:left="0" w:right="0"/>
        <w:jc w:val="both"/>
        <w:rPr>
          <w:rFonts w:ascii="Verdana" w:hAnsi="Verdana"/>
          <w:sz w:val="20"/>
          <w:szCs w:val="20"/>
        </w:rPr>
      </w:pPr>
      <w:r>
        <w:rPr>
          <w:rFonts w:ascii="Verdana" w:hAnsi="Verdana"/>
          <w:b w:val="false"/>
          <w:bCs w:val="false"/>
          <w:sz w:val="20"/>
          <w:szCs w:val="20"/>
        </w:rPr>
        <w:t>14.6.</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14.7.</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left="0" w:right="0"/>
        <w:jc w:val="both"/>
        <w:rPr>
          <w:rFonts w:ascii="Verdana" w:hAnsi="Verdana"/>
          <w:sz w:val="20"/>
          <w:szCs w:val="20"/>
        </w:rPr>
      </w:pPr>
      <w:r>
        <w:rPr>
          <w:rFonts w:ascii="Verdana" w:hAnsi="Verdana"/>
          <w:b w:val="false"/>
          <w:bCs w:val="false"/>
          <w:sz w:val="20"/>
          <w:szCs w:val="20"/>
        </w:rPr>
        <w:t>14.8.</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ormal"/>
        <w:jc w:val="both"/>
        <w:rPr>
          <w:rFonts w:ascii="Verdana" w:hAnsi="Verdana"/>
          <w:sz w:val="20"/>
          <w:szCs w:val="20"/>
        </w:rPr>
      </w:pPr>
      <w:r>
        <w:rPr>
          <w:rFonts w:eastAsia="Arial" w:cs="Times New Roman" w:ascii="Verdana" w:hAnsi="Verdana"/>
          <w:b w:val="false"/>
          <w:bCs w:val="false"/>
          <w:iCs/>
          <w:color w:val="auto"/>
          <w:sz w:val="20"/>
          <w:szCs w:val="20"/>
          <w:lang w:eastAsia="en-US"/>
        </w:rPr>
        <w:t>14.9. No caso de recusa da entrega do produto pelo fornecedor, a Administração Pública adotará as providências cabíveis, de cordo com a legislação aplicável, visando sanar problemas por ventura ocorridos.</w:t>
      </w:r>
    </w:p>
    <w:p>
      <w:pPr>
        <w:pStyle w:val="Normal"/>
        <w:jc w:val="both"/>
        <w:rPr>
          <w:rFonts w:ascii="Verdana" w:hAnsi="Verdana"/>
          <w:sz w:val="20"/>
          <w:szCs w:val="20"/>
        </w:rPr>
      </w:pPr>
      <w:r>
        <w:rPr>
          <w:rFonts w:eastAsia="Arial" w:cs="Times New Roman" w:ascii="Verdana" w:hAnsi="Verdana"/>
          <w:b w:val="false"/>
          <w:bCs w:val="false"/>
          <w:iCs/>
          <w:color w:val="auto"/>
          <w:sz w:val="20"/>
          <w:szCs w:val="20"/>
          <w:lang w:eastAsia="en-US"/>
        </w:rPr>
        <w:t>14.10. O contrato será substituído pela nota de empenho e autorização de fornecimento/execução.</w:t>
      </w:r>
    </w:p>
    <w:p>
      <w:pPr>
        <w:pStyle w:val="Normal"/>
        <w:spacing w:lineRule="auto" w:line="240"/>
        <w:ind w:hanging="0" w:left="0" w:right="0"/>
        <w:jc w:val="both"/>
        <w:rPr>
          <w:rFonts w:ascii="Verdana" w:hAnsi="Verdana"/>
          <w:sz w:val="20"/>
          <w:szCs w:val="20"/>
        </w:rPr>
      </w:pPr>
      <w:r>
        <w:rPr>
          <w:rFonts w:ascii="Verdana" w:hAnsi="Verdana"/>
          <w:b w:val="false"/>
          <w:bCs w:val="false"/>
          <w:sz w:val="20"/>
          <w:szCs w:val="20"/>
        </w:rPr>
        <w:t>14.11.</w:t>
      </w:r>
      <w:r>
        <w:rPr>
          <w:rFonts w:ascii="Verdana" w:hAnsi="Verdana"/>
          <w:sz w:val="20"/>
          <w:szCs w:val="20"/>
        </w:rPr>
        <w:t xml:space="preserve"> A entrega </w:t>
      </w:r>
      <w:r>
        <w:rPr>
          <w:rFonts w:eastAsia="Times New Roman" w:cs="Times New Roman" w:ascii="Verdana" w:hAnsi="Verdana"/>
          <w:sz w:val="20"/>
          <w:szCs w:val="20"/>
        </w:rPr>
        <w:t>do item</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spacing w:lineRule="auto" w:line="240"/>
        <w:ind w:hanging="0" w:left="0" w:right="0"/>
        <w:jc w:val="both"/>
        <w:rPr>
          <w:rFonts w:ascii="Verdana" w:hAnsi="Verdana"/>
          <w:sz w:val="20"/>
          <w:szCs w:val="20"/>
        </w:rPr>
      </w:pPr>
      <w:r>
        <w:rPr>
          <w:rFonts w:ascii="Verdana" w:hAnsi="Verdana"/>
          <w:b w:val="false"/>
          <w:bCs w:val="false"/>
          <w:sz w:val="20"/>
          <w:szCs w:val="20"/>
        </w:rPr>
        <w:t>14.12.</w:t>
      </w:r>
      <w:r>
        <w:rPr>
          <w:rFonts w:ascii="Verdana" w:hAnsi="Verdana"/>
          <w:sz w:val="20"/>
          <w:szCs w:val="20"/>
        </w:rPr>
        <w:t xml:space="preserve">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240"/>
        <w:ind w:hanging="0" w:left="0" w:right="0"/>
        <w:jc w:val="both"/>
        <w:rPr>
          <w:rFonts w:ascii="Verdana" w:hAnsi="Verdana"/>
          <w:sz w:val="20"/>
          <w:szCs w:val="20"/>
        </w:rPr>
      </w:pPr>
      <w:r>
        <w:rPr>
          <w:rFonts w:ascii="Verdana" w:hAnsi="Verdana"/>
          <w:b w:val="false"/>
          <w:bCs w:val="false"/>
          <w:sz w:val="20"/>
          <w:szCs w:val="20"/>
        </w:rPr>
        <w:t>14.13.</w:t>
      </w:r>
      <w:r>
        <w:rPr>
          <w:rFonts w:ascii="Verdana" w:hAnsi="Verdana"/>
          <w:sz w:val="20"/>
          <w:szCs w:val="20"/>
        </w:rPr>
        <w:t xml:space="preserve"> Somente o contratado será responsável pelos encargos trabalhistas, previdenciários, fiscais e comerciais resultantes da execução dos serviços.</w:t>
      </w:r>
    </w:p>
    <w:p>
      <w:pPr>
        <w:pStyle w:val="Normal"/>
        <w:spacing w:lineRule="auto" w:line="240"/>
        <w:ind w:hanging="0" w:left="0" w:right="0"/>
        <w:jc w:val="both"/>
        <w:rPr>
          <w:rFonts w:ascii="Verdana" w:hAnsi="Verdana"/>
          <w:sz w:val="20"/>
          <w:szCs w:val="20"/>
        </w:rPr>
      </w:pPr>
      <w:r>
        <w:rPr>
          <w:rFonts w:ascii="Verdana" w:hAnsi="Verdana"/>
          <w:b w:val="false"/>
          <w:bCs w:val="false"/>
          <w:sz w:val="20"/>
          <w:szCs w:val="20"/>
        </w:rPr>
        <w:t>14.14.</w:t>
      </w:r>
      <w:r>
        <w:rPr>
          <w:rFonts w:ascii="Verdana" w:hAnsi="Verdana"/>
          <w:sz w:val="20"/>
          <w:szCs w:val="20"/>
        </w:rPr>
        <w:t xml:space="preserve"> A inadimplência do contratado em relação aos encargos trabalhistas, fiscais e comerciais não transferirá à Administração a responsabilidade pelo seu pagamento e não poderá onerar o objeto do contrato.</w:t>
      </w:r>
    </w:p>
    <w:p>
      <w:pPr>
        <w:pStyle w:val="Normal"/>
        <w:jc w:val="both"/>
        <w:rPr>
          <w:rFonts w:ascii="Verdana" w:hAnsi="Verdana"/>
          <w:sz w:val="20"/>
          <w:szCs w:val="20"/>
        </w:rPr>
      </w:pPr>
      <w:r>
        <w:rPr>
          <w:rFonts w:eastAsia="Arial" w:cs="Times New Roman" w:ascii="Verdana" w:hAnsi="Verdana"/>
          <w:b w:val="false"/>
          <w:bCs w:val="false"/>
          <w:iCs/>
          <w:color w:val="auto"/>
          <w:sz w:val="20"/>
          <w:szCs w:val="20"/>
          <w:lang w:eastAsia="en-US"/>
        </w:rPr>
        <w:t>14.15.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Normal"/>
        <w:spacing w:before="0" w:after="0"/>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15. DO REAJUSTAMENTO EM SENTIDO GERAL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15.1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before="57" w:after="57"/>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16.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16.1 Os critérios de recebimento e aceitação do objeto e de fiscalização estão previstos no Termo de Referência anexo a este edital.</w:t>
      </w:r>
    </w:p>
    <w:p>
      <w:pPr>
        <w:pStyle w:val="Normal"/>
        <w:spacing w:before="0" w:after="0"/>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17.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anexo a este edital.</w:t>
      </w:r>
    </w:p>
    <w:p>
      <w:pPr>
        <w:pStyle w:val="Normal"/>
        <w:spacing w:before="0" w:after="0"/>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18</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anexo a este edital.</w:t>
      </w:r>
    </w:p>
    <w:p>
      <w:pPr>
        <w:pStyle w:val="Normal"/>
        <w:spacing w:before="0" w:after="0"/>
        <w:rPr>
          <w:rFonts w:ascii="Verdana" w:hAnsi="Verdana"/>
          <w:sz w:val="20"/>
          <w:szCs w:val="20"/>
        </w:rPr>
      </w:pPr>
      <w:r>
        <w:rPr>
          <w:rFonts w:ascii="Verdana" w:hAnsi="Verdana"/>
          <w:sz w:val="20"/>
          <w:szCs w:val="20"/>
        </w:rPr>
      </w:r>
    </w:p>
    <w:p>
      <w:pPr>
        <w:pStyle w:val="ListParagraph"/>
        <w:spacing w:before="0" w:after="0"/>
        <w:ind w:left="0"/>
        <w:contextualSpacing w:val="false"/>
        <w:jc w:val="both"/>
        <w:rPr>
          <w:rFonts w:ascii="Verdana" w:hAnsi="Verdana"/>
          <w:sz w:val="20"/>
          <w:szCs w:val="20"/>
        </w:rPr>
      </w:pPr>
      <w:r>
        <w:rPr>
          <w:rFonts w:cs="Arial" w:ascii="Verdana" w:hAnsi="Verdana"/>
          <w:b/>
          <w:bCs/>
          <w:color w:val="000000"/>
          <w:sz w:val="20"/>
          <w:szCs w:val="20"/>
          <w:lang w:eastAsia="en-US"/>
        </w:rPr>
        <w:t>19. DA CONTA DEPÓSITO VINCULADA ― BLOQUEADA PARA MOVIMENTAÇÃO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19.1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before="57" w:after="57"/>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Apresentar proposta em desacordo com as especificações do edital;</w:t>
      </w:r>
    </w:p>
    <w:p>
      <w:pPr>
        <w:pStyle w:val="Normal"/>
        <w:tabs>
          <w:tab w:val="clear" w:pos="720"/>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before="57" w:after="57"/>
        <w:jc w:val="both"/>
        <w:rPr>
          <w:rFonts w:ascii="Verdana" w:hAnsi="Verdana"/>
          <w:sz w:val="20"/>
          <w:szCs w:val="20"/>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before="57" w:after="57"/>
        <w:jc w:val="both"/>
        <w:rPr>
          <w:rFonts w:ascii="Verdana" w:hAnsi="Verdana"/>
          <w:sz w:val="20"/>
          <w:szCs w:val="20"/>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before="57" w:after="57"/>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 xml:space="preserve">20.4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18"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8"/>
    </w:p>
    <w:p>
      <w:pPr>
        <w:pStyle w:val="Nivel2"/>
        <w:numPr>
          <w:ilvl w:val="0"/>
          <w:numId w:val="0"/>
        </w:numPr>
        <w:spacing w:lineRule="auto" w:line="240" w:before="57" w:after="57"/>
        <w:ind w:hanging="0" w:left="0"/>
        <w:rPr>
          <w:rFonts w:ascii="Verdana" w:hAnsi="Verdana"/>
        </w:rPr>
      </w:pPr>
      <w:r>
        <w:rPr>
          <w:rFonts w:ascii="Verdana" w:hAnsi="Verdana"/>
        </w:rPr>
        <w:t xml:space="preserve">20.4.2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8"/>
          <w:rFonts w:ascii="Verdana" w:hAnsi="Verdana"/>
          <w:color w:val="000000"/>
        </w:rPr>
        <w:instrText xml:space="preserve"> HYPERLINK "http://www.planalto.gov.br/ccivil_03/_ato2019-2022/2021/lei/L14133.htm" \l "art156%C2%A75"</w:instrText>
      </w:r>
      <w:r>
        <w:rPr>
          <w:rStyle w:val="ListLabel188"/>
          <w:rFonts w:ascii="Verdana" w:hAnsi="Verdana"/>
          <w:color w:val="000000"/>
        </w:rPr>
        <w:fldChar w:fldCharType="separate"/>
      </w:r>
      <w:r>
        <w:rPr>
          <w:rStyle w:val="ListLabel188"/>
          <w:rFonts w:ascii="Verdana" w:hAnsi="Verdana"/>
          <w:color w:val="000000"/>
        </w:rPr>
        <w:t>art. 156, §5º, da Lei n.º 14.133/2021</w:t>
      </w:r>
      <w:r>
        <w:rPr>
          <w:rStyle w:val="ListLabel188"/>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0">
        <w:r>
          <w:rPr>
            <w:rStyle w:val="ListLabel188"/>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57" w:after="57"/>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Normal"/>
        <w:spacing w:before="57" w:after="57"/>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21. DA IMPUGNAÇÃO AO EDITAL E DO PEDIDO DE ESCLARECIMENTO</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1">
        <w:r>
          <w:rPr>
            <w:rStyle w:val="ListLabel18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Normal"/>
        <w:spacing w:before="57" w:after="57"/>
        <w:rPr>
          <w:rFonts w:ascii="Verdana" w:hAnsi="Verdana"/>
          <w:sz w:val="20"/>
          <w:szCs w:val="20"/>
        </w:rPr>
      </w:pPr>
      <w:r>
        <w:rPr>
          <w:rFonts w:ascii="Verdana" w:hAnsi="Verdana"/>
          <w:sz w:val="20"/>
          <w:szCs w:val="20"/>
        </w:rPr>
      </w:r>
    </w:p>
    <w:p>
      <w:pPr>
        <w:pStyle w:val="Nivel01"/>
        <w:spacing w:before="57" w:after="57"/>
        <w:rPr>
          <w:rFonts w:ascii="Verdana" w:hAnsi="Verdana"/>
        </w:rPr>
      </w:pPr>
      <w:r>
        <w:rPr>
          <w:rFonts w:cs="Arial" w:ascii="Verdana" w:hAnsi="Verdana"/>
        </w:rPr>
        <w:t>22. DAS DISPOSIÇÕES GERAIS</w:t>
      </w:r>
    </w:p>
    <w:p>
      <w:pPr>
        <w:pStyle w:val="Normal"/>
        <w:spacing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hyperlink r:id="rId12">
        <w:r>
          <w:rPr>
            <w:rStyle w:val="Hyperlink"/>
            <w:rFonts w:cs="Arial" w:ascii="Verdana" w:hAnsi="Verdana"/>
            <w:b/>
            <w:bCs/>
            <w:color w:val="000000"/>
            <w:sz w:val="20"/>
            <w:szCs w:val="20"/>
          </w:rPr>
          <w:t>Portal de Compras Públicas –</w:t>
        </w:r>
      </w:hyperlink>
      <w:r>
        <w:rPr>
          <w:rStyle w:val="InternetLink2"/>
          <w:rFonts w:cs="Arial" w:ascii="Verdana" w:hAnsi="Verdana"/>
          <w:color w:val="000000"/>
          <w:sz w:val="20"/>
          <w:szCs w:val="20"/>
        </w:rPr>
        <w:t xml:space="preserve"> </w:t>
      </w:r>
      <w:hyperlink r:id="rId13">
        <w:bookmarkStart w:id="19" w:name="_Hlk123138684_Copia_2"/>
        <w:r>
          <w:rPr>
            <w:rStyle w:val="Hyperlink"/>
            <w:rFonts w:cs="Arial" w:ascii="Verdana" w:hAnsi="Verdana"/>
            <w:b/>
            <w:bCs/>
            <w:sz w:val="20"/>
            <w:szCs w:val="20"/>
          </w:rPr>
          <w:t>www.portaldecompraspublicas.com.br</w:t>
        </w:r>
      </w:hyperlink>
      <w:bookmarkEnd w:id="19"/>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4">
        <w:r>
          <w:rPr>
            <w:rStyle w:val="ListLabel185"/>
            <w:rFonts w:ascii="Verdana" w:hAnsi="Verdana"/>
            <w:color w:val="000080"/>
            <w:sz w:val="20"/>
            <w:szCs w:val="20"/>
            <w:u w:val="single"/>
          </w:rPr>
          <w:t>licitacao@</w:t>
        </w:r>
      </w:hyperlink>
      <w:hyperlink r:id="rId15">
        <w:r>
          <w:rPr>
            <w:rStyle w:val="ListLabel185"/>
            <w:rFonts w:ascii="Verdana" w:hAnsi="Verdana"/>
            <w:color w:val="000080"/>
            <w:sz w:val="20"/>
            <w:szCs w:val="20"/>
            <w:u w:val="single"/>
          </w:rPr>
          <w:t>saogabriel</w:t>
        </w:r>
      </w:hyperlink>
      <w:hyperlink r:id="rId16">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22.12.1.1 ANEXO I-1 – Estudo Técnico Preliminar;</w:t>
      </w:r>
    </w:p>
    <w:p>
      <w:pPr>
        <w:pStyle w:val="Normal"/>
        <w:tabs>
          <w:tab w:val="clear" w:pos="720"/>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22.12.2 ANEXO II – Modelo Orientativo de Proposta;</w:t>
      </w:r>
    </w:p>
    <w:p>
      <w:pPr>
        <w:pStyle w:val="Normal"/>
        <w:tabs>
          <w:tab w:val="clear" w:pos="720"/>
          <w:tab w:val="left" w:pos="800" w:leader="none"/>
        </w:tabs>
        <w:snapToGrid w:val="false"/>
        <w:spacing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before="57" w:after="57"/>
        <w:jc w:val="both"/>
        <w:rPr>
          <w:rFonts w:ascii="Verdana" w:hAnsi="Verdana"/>
          <w:sz w:val="20"/>
          <w:szCs w:val="20"/>
        </w:rPr>
      </w:pPr>
      <w:r>
        <w:rPr>
          <w:rFonts w:ascii="Verdana" w:hAnsi="Verdana"/>
          <w:sz w:val="20"/>
          <w:szCs w:val="20"/>
        </w:rPr>
      </w:r>
    </w:p>
    <w:p>
      <w:pPr>
        <w:pStyle w:val="Normal"/>
        <w:tabs>
          <w:tab w:val="clear" w:pos="720"/>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20"/>
          <w:tab w:val="left" w:pos="567" w:leader="none"/>
        </w:tabs>
        <w:spacing w:before="57" w:after="57"/>
        <w:ind w:hanging="0" w:left="0"/>
        <w:jc w:val="center"/>
        <w:outlineLvl w:val="0"/>
        <w:rPr>
          <w:rFonts w:ascii="Verdana" w:hAnsi="Verdana"/>
          <w:sz w:val="20"/>
          <w:szCs w:val="20"/>
        </w:rPr>
      </w:pPr>
      <w:r>
        <w:rPr>
          <w:rFonts w:cs="Arial" w:ascii="Verdana" w:hAnsi="Verdana"/>
          <w:color w:val="000000"/>
          <w:sz w:val="20"/>
          <w:szCs w:val="20"/>
        </w:rPr>
        <w:t>São Gabriel da Palha/ES, 17 de abril de 2026.</w:t>
      </w:r>
    </w:p>
    <w:p>
      <w:pPr>
        <w:pStyle w:val="Normal"/>
        <w:tabs>
          <w:tab w:val="clear" w:pos="720"/>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20"/>
          <w:tab w:val="left" w:pos="567" w:leader="none"/>
        </w:tabs>
        <w:spacing w:before="57" w:after="57"/>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7"/>
      <w:headerReference w:type="default" r:id="rId18"/>
      <w:headerReference w:type="first" r:id="rId19"/>
      <w:footerReference w:type="even" r:id="rId20"/>
      <w:footerReference w:type="default" r:id="rId21"/>
      <w:footerReference w:type="first" r:id="rId22"/>
      <w:type w:val="nextPage"/>
      <w:pgSz w:w="11906" w:h="16838"/>
      <w:pgMar w:left="1367" w:right="872" w:gutter="0" w:header="517" w:top="1767" w:footer="158" w:bottom="82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8">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prasgovernamentais.gov.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ecompraspublicas.com.br/"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mailto:licitacao@saogabriel.es.gov.br" TargetMode="External"/><Relationship Id="rId12" Type="http://schemas.openxmlformats.org/officeDocument/2006/relationships/hyperlink" Target="http://www.comprasgovernamentais.gov.br/" TargetMode="External"/><Relationship Id="rId13" Type="http://schemas.openxmlformats.org/officeDocument/2006/relationships/hyperlink" Target="http://www.portaldecompraspublicas.com.br/" TargetMode="External"/><Relationship Id="rId14" Type="http://schemas.openxmlformats.org/officeDocument/2006/relationships/hyperlink" Target="mailto:licitacao@saogabriel.es.gov.br" TargetMode="External"/><Relationship Id="rId15" Type="http://schemas.openxmlformats.org/officeDocument/2006/relationships/hyperlink" Target="mailto:licitacao@saogabriel.es.gov.br" TargetMode="External"/><Relationship Id="rId16" Type="http://schemas.openxmlformats.org/officeDocument/2006/relationships/hyperlink" Target="mailto:licitacao@saogabriel.es.gov.br"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header" Target="header3.xm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oter" Target="footer3.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2587</TotalTime>
  <Application>LibreOffice/24.2.6.2$Windows_X86_64 LibreOffice_project/ef66aa7e36a1bb8e65bfbc63aba53045a14d0871</Application>
  <AppVersion>15.0000</AppVersion>
  <Pages>17</Pages>
  <Words>9635</Words>
  <Characters>54621</Characters>
  <CharactersWithSpaces>63862</CharactersWithSpaces>
  <Paragraphs>353</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2024-06-21T08:18:00Z</dcterms:created>
  <dc:creator>Compras</dc:creator>
  <dc:description/>
  <dc:language>pt-BR</dc:language>
  <cp:lastModifiedBy/>
  <cp:lastPrinted>2026-04-17T11:53:37Z</cp:lastPrinted>
  <dcterms:modified xsi:type="dcterms:W3CDTF">2026-05-06T16:31:31Z</dcterms:modified>
  <cp:revision>157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